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D1A9" w14:textId="4EFCDE18" w:rsidR="009A1181" w:rsidRDefault="009A1181" w:rsidP="009A1181">
      <w:pPr>
        <w:rPr>
          <w:rFonts w:asciiTheme="minorHAnsi" w:hAnsiTheme="minorHAnsi" w:cstheme="minorBidi"/>
          <w:b/>
          <w:kern w:val="0"/>
          <w:lang w:bidi="ar-SA"/>
        </w:rPr>
      </w:pPr>
      <w:r>
        <w:rPr>
          <w:b/>
        </w:rPr>
        <w:t xml:space="preserve">Pakiet </w:t>
      </w:r>
      <w:r w:rsidR="00F35C5B">
        <w:rPr>
          <w:b/>
        </w:rPr>
        <w:t>1</w:t>
      </w:r>
      <w:r w:rsidR="00775AC1">
        <w:rPr>
          <w:b/>
        </w:rPr>
        <w:t xml:space="preserve"> </w:t>
      </w:r>
      <w:r w:rsidR="00D5097D">
        <w:rPr>
          <w:b/>
        </w:rPr>
        <w:t>(</w:t>
      </w:r>
      <w:r w:rsidR="00560E4B">
        <w:rPr>
          <w:b/>
        </w:rPr>
        <w:t xml:space="preserve">dostawa - </w:t>
      </w:r>
      <w:bookmarkStart w:id="0" w:name="_GoBack"/>
      <w:bookmarkEnd w:id="0"/>
      <w:r w:rsidR="00775AC1">
        <w:rPr>
          <w:b/>
        </w:rPr>
        <w:t>Warszawa</w:t>
      </w:r>
      <w:r w:rsidR="00D5097D">
        <w:rPr>
          <w:b/>
        </w:rPr>
        <w:t>)</w:t>
      </w:r>
      <w:r w:rsidR="00775AC1">
        <w:rPr>
          <w:b/>
        </w:rPr>
        <w:t xml:space="preserve"> </w:t>
      </w:r>
    </w:p>
    <w:p w14:paraId="559A2F23" w14:textId="77777777" w:rsidR="009A1181" w:rsidRDefault="009A1181" w:rsidP="009A1181"/>
    <w:tbl>
      <w:tblPr>
        <w:tblpPr w:leftFromText="142" w:rightFromText="142" w:bottomFromText="160" w:vertAnchor="text" w:horzAnchor="page" w:tblpXSpec="center" w:tblpY="1"/>
        <w:tblOverlap w:val="never"/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142" w:type="dxa"/>
          <w:bottom w:w="85" w:type="dxa"/>
          <w:right w:w="142" w:type="dxa"/>
        </w:tblCellMar>
        <w:tblLook w:val="01E0" w:firstRow="1" w:lastRow="1" w:firstColumn="1" w:lastColumn="1" w:noHBand="0" w:noVBand="0"/>
      </w:tblPr>
      <w:tblGrid>
        <w:gridCol w:w="588"/>
        <w:gridCol w:w="6778"/>
        <w:gridCol w:w="1738"/>
      </w:tblGrid>
      <w:tr w:rsidR="009A1181" w14:paraId="3EB2D97B" w14:textId="77777777" w:rsidTr="00410101">
        <w:trPr>
          <w:trHeight w:val="18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3D64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Tabela nr 1</w:t>
            </w:r>
          </w:p>
        </w:tc>
      </w:tr>
      <w:tr w:rsidR="009A1181" w14:paraId="51FF82F0" w14:textId="77777777" w:rsidTr="008F0995">
        <w:trPr>
          <w:trHeight w:val="1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0757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95A2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Wykaz licencji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3999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licencji</w:t>
            </w:r>
          </w:p>
        </w:tc>
      </w:tr>
      <w:tr w:rsidR="009A1181" w14:paraId="012187FA" w14:textId="77777777" w:rsidTr="008F0995">
        <w:trPr>
          <w:trHeight w:val="2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21A7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F629" w14:textId="7E03A343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Pakiet biurowy typu MS Office Professional Plus 202</w:t>
            </w:r>
            <w:r w:rsidR="00490E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LTSC EDU  umożliwiający 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downgrade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wersji MS Office Professional Plus 20</w:t>
            </w:r>
            <w:r w:rsidR="00490ED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20</w:t>
            </w:r>
            <w:r w:rsidR="00490ED5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lub równoważny :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4B5A" w14:textId="129B60E4" w:rsidR="009A1181" w:rsidRDefault="006330F9" w:rsidP="00410101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9A1181" w:rsidRPr="00612C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licencj</w:t>
            </w:r>
            <w:r w:rsidR="00515307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</w:tr>
      <w:tr w:rsidR="009A1181" w14:paraId="2F8BE8D8" w14:textId="77777777" w:rsidTr="008F0995">
        <w:trPr>
          <w:trHeight w:val="3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31D9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3C3B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Wymagania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861D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1181" w14:paraId="61CC2DC5" w14:textId="77777777" w:rsidTr="008F0995">
        <w:trPr>
          <w:trHeight w:val="62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65EF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55E4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Dostarczane licencje muszą być oryginalne i pochodzić z autoryzowanych kanałów sprzedaży producentów.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0463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1181" w14:paraId="3CBB0FB2" w14:textId="77777777" w:rsidTr="008F0995">
        <w:trPr>
          <w:trHeight w:val="3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B64E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C313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przypadku zaproponowania programów równoważnych Wykonawca przeszkoli pracowników Zamawiającego z ich obsługi.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89BE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1181" w14:paraId="4B5101E7" w14:textId="77777777" w:rsidTr="008F0995">
        <w:trPr>
          <w:trHeight w:val="3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F90D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5C4F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licencji: wieczysta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34D0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1181" w14:paraId="2B1E6673" w14:textId="77777777" w:rsidTr="008F0995">
        <w:trPr>
          <w:trHeight w:val="1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DBCC" w14:textId="77777777" w:rsidR="009A1181" w:rsidRDefault="009A1181" w:rsidP="00410101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1BFE" w14:textId="77777777" w:rsidR="009A1181" w:rsidRDefault="009A1181" w:rsidP="004101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 zamówienia Wykonawca otrzyma dane dotyczące konta (domeny) w CSP do jakiego mają być przypisane licencje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B4EA" w14:textId="77777777" w:rsidR="009A1181" w:rsidRDefault="009A1181" w:rsidP="00410101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84D23EA" w14:textId="77777777" w:rsidR="009A1181" w:rsidRDefault="009A1181" w:rsidP="009A1181">
      <w:pPr>
        <w:spacing w:line="360" w:lineRule="auto"/>
        <w:rPr>
          <w:rFonts w:ascii="Arial" w:hAnsi="Arial" w:cs="Arial"/>
          <w:b/>
          <w:sz w:val="20"/>
          <w:szCs w:val="20"/>
          <w:u w:val="single"/>
          <w:lang w:eastAsia="en-US"/>
        </w:rPr>
      </w:pPr>
    </w:p>
    <w:p w14:paraId="5267B58D" w14:textId="77777777" w:rsidR="009A1181" w:rsidRDefault="009A1181" w:rsidP="009A1181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FACD17D" w14:textId="77777777" w:rsidR="009A1181" w:rsidRDefault="009A1181" w:rsidP="009A1181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Opis równoważności dla oprogramowania biurowego</w:t>
      </w:r>
    </w:p>
    <w:p w14:paraId="53ED9E7F" w14:textId="1A56ACDF" w:rsidR="009A1181" w:rsidRDefault="009A1181" w:rsidP="009A11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Równoważność do oprogramowania MS Office Professional Plus </w:t>
      </w:r>
      <w:r>
        <w:rPr>
          <w:rFonts w:ascii="Arial" w:hAnsi="Arial" w:cs="Arial"/>
          <w:color w:val="000000" w:themeColor="text1"/>
          <w:sz w:val="20"/>
          <w:szCs w:val="20"/>
        </w:rPr>
        <w:t>202</w:t>
      </w:r>
      <w:r w:rsidR="00490ED5">
        <w:rPr>
          <w:rFonts w:ascii="Arial" w:hAnsi="Arial" w:cs="Arial"/>
          <w:color w:val="000000" w:themeColor="text1"/>
          <w:sz w:val="20"/>
          <w:szCs w:val="20"/>
        </w:rPr>
        <w:t>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LTSC EDU  </w:t>
      </w:r>
      <w:r>
        <w:rPr>
          <w:rFonts w:ascii="Arial" w:hAnsi="Arial" w:cs="Arial"/>
          <w:sz w:val="20"/>
          <w:szCs w:val="20"/>
        </w:rPr>
        <w:t>oznacza, że musi spełniać następujące wymagania poprzez wbudowane mechanizmy, bez użycia dodatkowych aplikacji:</w:t>
      </w:r>
    </w:p>
    <w:p w14:paraId="5DE6522A" w14:textId="77777777" w:rsidR="009A1181" w:rsidRDefault="009A1181" w:rsidP="009A1181">
      <w:pPr>
        <w:rPr>
          <w:rFonts w:asciiTheme="minorHAnsi" w:hAnsiTheme="minorHAnsi" w:cstheme="minorBidi"/>
        </w:rPr>
      </w:pPr>
    </w:p>
    <w:p w14:paraId="67EB01E7" w14:textId="77777777" w:rsidR="009A1181" w:rsidRDefault="009A1181" w:rsidP="009A1181">
      <w:pPr>
        <w:pStyle w:val="Akapitzlist"/>
        <w:suppressAutoHyphens w:val="0"/>
        <w:spacing w:after="10" w:line="240" w:lineRule="auto"/>
        <w:ind w:left="360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3DB4E34B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Do aplikacji musi być dostępna pełna dokumentacja w języku polskim. </w:t>
      </w:r>
    </w:p>
    <w:p w14:paraId="5F808F0F" w14:textId="77777777" w:rsidR="009A1181" w:rsidRDefault="009A1181" w:rsidP="009A1181">
      <w:pPr>
        <w:pStyle w:val="Akapitzlist"/>
        <w:suppressAutoHyphens w:val="0"/>
        <w:spacing w:after="10" w:line="240" w:lineRule="auto"/>
        <w:ind w:left="360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61FD11FB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Pakiet zintegrowanych aplikacji biurowych musi zawierać: </w:t>
      </w:r>
    </w:p>
    <w:p w14:paraId="44A7BABA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Edytor tekstów </w:t>
      </w:r>
    </w:p>
    <w:p w14:paraId="71B344AA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Arkusz kalkulacyjny </w:t>
      </w:r>
    </w:p>
    <w:p w14:paraId="055E1876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przygotowywania i prowadzenia prezentacji </w:t>
      </w:r>
    </w:p>
    <w:p w14:paraId="05DD0D29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tworzenia drukowanych materiałów informacyjnych </w:t>
      </w:r>
    </w:p>
    <w:p w14:paraId="0C4E8A68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1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zarządzania informacją prywatą (pocztą elektroniczną, kalendarzem, kontaktami i zadaniami) </w:t>
      </w:r>
    </w:p>
    <w:p w14:paraId="3C206736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tworzenia notatek przy pomocy klawiatury lub notatek odręcznych na ekranie urządzenia typu tablet PC z mechanizmem OCR. </w:t>
      </w:r>
    </w:p>
    <w:p w14:paraId="42245BA2" w14:textId="77777777" w:rsidR="009A1181" w:rsidRDefault="009A1181" w:rsidP="009A1181">
      <w:pPr>
        <w:pStyle w:val="Akapitzlist"/>
        <w:numPr>
          <w:ilvl w:val="0"/>
          <w:numId w:val="2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Narzędzie do tworzenia i pracy z lokalną bazą danych.</w:t>
      </w:r>
    </w:p>
    <w:p w14:paraId="07DC279A" w14:textId="77777777" w:rsidR="009A1181" w:rsidRDefault="009A1181" w:rsidP="009A1181">
      <w:pPr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3D0C995A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Edytor tekstów musi umożliwiać: </w:t>
      </w:r>
    </w:p>
    <w:p w14:paraId="2763DDF9" w14:textId="77777777" w:rsidR="009A1181" w:rsidRDefault="009A1181" w:rsidP="009A1181">
      <w:pPr>
        <w:pStyle w:val="Akapitzlist"/>
        <w:numPr>
          <w:ilvl w:val="7"/>
          <w:numId w:val="3"/>
        </w:numPr>
        <w:suppressAutoHyphens w:val="0"/>
        <w:spacing w:after="13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Edycję i formatowanie tekstu w języku polskim wraz z obsługą języka polskiego w zakresie sprawdzania pisowni i poprawności gramatycznej oraz funkcjonalnością słownika wyrazów bliskoznacznych i autokorekty. </w:t>
      </w:r>
    </w:p>
    <w:p w14:paraId="3D476FDA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13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Edycję i formatowanie tekstu w języku angielskim wraz z obsługą języka angielskiego w zakresie sprawdzania pisowni i poprawności gramatycznej oraz funkcjonalnością słownika wyrazów bliskoznacznych i autokorekty. </w:t>
      </w:r>
    </w:p>
    <w:p w14:paraId="789AC23A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13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lastRenderedPageBreak/>
        <w:t xml:space="preserve">Wstawianie oraz formatowanie tabel. </w:t>
      </w:r>
    </w:p>
    <w:p w14:paraId="641A2893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13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Wstawianie oraz formatowanie obiektów graficznych. </w:t>
      </w:r>
    </w:p>
    <w:p w14:paraId="5A9372D5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13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Wstawianie wykresów i tabel z arkusza kalkulacyjnego (wliczając tabele przestawne). </w:t>
      </w:r>
    </w:p>
    <w:p w14:paraId="65A930A4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13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Automatyczne numerowanie rozdziałów, punktów, akapitów, tabel i rysunków. </w:t>
      </w:r>
    </w:p>
    <w:p w14:paraId="26BBE68F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Automatyczne tworzenie spisów treści. </w:t>
      </w:r>
    </w:p>
    <w:p w14:paraId="1188D3C5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Formatowanie nagłówków i stopek stron. </w:t>
      </w:r>
    </w:p>
    <w:p w14:paraId="4930DB8C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Śledzenie i porównywanie zmian wprowadzonych przez użytkowników w dokumencie. </w:t>
      </w:r>
    </w:p>
    <w:p w14:paraId="72635F6D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Zapamiętywanie i wskazywanie miejsca, w którym zakończona była edycja dokumentu przed jego uprzednim zamknięciem. </w:t>
      </w:r>
    </w:p>
    <w:p w14:paraId="6950C312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Nagrywanie, tworzenie i edycję makr automatyzujących wykonywanie czynności. </w:t>
      </w:r>
    </w:p>
    <w:p w14:paraId="5A5867B9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Określenie układu strony (pionowa/pozioma). </w:t>
      </w:r>
    </w:p>
    <w:p w14:paraId="0C900A6A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Wydruk dokumentów. </w:t>
      </w:r>
    </w:p>
    <w:p w14:paraId="0CEC2EB2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Wykonywanie korespondencji seryjnej bazując na danych adresowych pochodzących z arkusza kalkulacyjnego i z narzędzia do zarządzania informacją prywatną. </w:t>
      </w:r>
    </w:p>
    <w:p w14:paraId="5BC82041" w14:textId="0A023DBF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Pracę na dokumentach utworzonych przy pomocy Microsoft Word 2019</w:t>
      </w:r>
      <w:r w:rsidR="00490ED5">
        <w:rPr>
          <w:rFonts w:ascii="Arial" w:eastAsiaTheme="minorHAnsi" w:hAnsi="Arial" w:cs="Arial"/>
          <w:kern w:val="0"/>
          <w:sz w:val="20"/>
          <w:lang w:eastAsia="en-US" w:bidi="ar-SA"/>
        </w:rPr>
        <w:t>, 2021</w:t>
      </w: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 z zapewnieniem bezproblemowej konwersji wszystkich elementów i atrybutów dokumentu. </w:t>
      </w:r>
    </w:p>
    <w:p w14:paraId="278A434B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Zapis i edycję plików w formacie PDF. </w:t>
      </w:r>
    </w:p>
    <w:p w14:paraId="7E445A60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27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Zabezpieczenie dokumentów hasłem przed odczytem oraz przed wprowadzaniem modyfikacji. </w:t>
      </w:r>
    </w:p>
    <w:p w14:paraId="1F4C15AE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wyboru jednej z zapisanych wersji dokumentu. </w:t>
      </w:r>
    </w:p>
    <w:p w14:paraId="44E870FA" w14:textId="77777777" w:rsidR="009A1181" w:rsidRDefault="009A1181" w:rsidP="009A1181">
      <w:pPr>
        <w:pStyle w:val="Akapitzlist"/>
        <w:numPr>
          <w:ilvl w:val="0"/>
          <w:numId w:val="3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Pełne wsparcie plików w formacie .</w:t>
      </w:r>
      <w:proofErr w:type="spellStart"/>
      <w:r>
        <w:rPr>
          <w:rFonts w:ascii="Arial" w:eastAsiaTheme="minorHAnsi" w:hAnsi="Arial" w:cs="Arial"/>
          <w:kern w:val="0"/>
          <w:sz w:val="20"/>
          <w:lang w:eastAsia="en-US" w:bidi="ar-SA"/>
        </w:rPr>
        <w:t>docx</w:t>
      </w:r>
      <w:proofErr w:type="spellEnd"/>
    </w:p>
    <w:p w14:paraId="24430C93" w14:textId="77777777" w:rsidR="009A1181" w:rsidRDefault="009A1181" w:rsidP="009A1181">
      <w:pPr>
        <w:numPr>
          <w:ilvl w:val="0"/>
          <w:numId w:val="3"/>
        </w:numPr>
        <w:shd w:val="clear" w:color="auto" w:fill="FFFFFF"/>
        <w:suppressAutoHyphens w:val="0"/>
        <w:autoSpaceDE/>
        <w:autoSpaceDN/>
        <w:adjustRightInd/>
        <w:spacing w:before="100" w:beforeAutospacing="1" w:after="100" w:afterAutospacing="1" w:line="240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sz w:val="20"/>
          <w:szCs w:val="20"/>
        </w:rPr>
        <w:t xml:space="preserve">Wyszukiwanie – tekstu, polecenia, pomocy </w:t>
      </w:r>
    </w:p>
    <w:p w14:paraId="3B463081" w14:textId="77777777" w:rsidR="009A1181" w:rsidRDefault="009A1181" w:rsidP="009A1181">
      <w:pPr>
        <w:pStyle w:val="Akapitzlist"/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0EBF9B2F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Arkusz kalkulacyjny musi umożliwiać: </w:t>
      </w:r>
    </w:p>
    <w:p w14:paraId="67B11724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raportów tabelarycznych </w:t>
      </w:r>
    </w:p>
    <w:p w14:paraId="0FD19B58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wykresów liniowych (wraz linią trendu), słupkowych, kołowych </w:t>
      </w:r>
    </w:p>
    <w:p w14:paraId="77413B95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arkuszy kalkulacyjnych zawierających teksty, dane liczbowe oraz formuły przeprowadzające operacje matematyczne, logiczne, tekstowe, statystyczne oraz operacje na danych finansowych i na miarach czasu. </w:t>
      </w:r>
    </w:p>
    <w:p w14:paraId="1C97C150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raportów z zewnętrznych źródeł danych (inne arkusze kalkulacyjne, bazy danych zgodne z ODBC, pliki tekstowe, pliki XML, </w:t>
      </w:r>
      <w:proofErr w:type="spellStart"/>
      <w:r>
        <w:rPr>
          <w:rFonts w:ascii="Arial" w:eastAsiaTheme="minorHAnsi" w:hAnsi="Arial" w:cs="Arial"/>
          <w:kern w:val="0"/>
          <w:sz w:val="20"/>
          <w:lang w:eastAsia="en-US" w:bidi="ar-SA"/>
        </w:rPr>
        <w:t>webservice</w:t>
      </w:r>
      <w:proofErr w:type="spellEnd"/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) </w:t>
      </w:r>
    </w:p>
    <w:p w14:paraId="04DFC90C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Obsługę kostek OLAP oraz tworzenie i edycję kwerend bazodanowych i webowych. Narzędzia wspomagające analizę statystyczną i finansową, analizę wariantową i rozwiązywanie problemów optymalizacyjnych </w:t>
      </w:r>
    </w:p>
    <w:p w14:paraId="18308091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raportów tabeli przestawnych umożliwiających dynamiczną zmianę wymiarów oraz wykresów bazujących na danych z tabeli przestawnych </w:t>
      </w:r>
    </w:p>
    <w:p w14:paraId="17C0FECA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Wyszukiwanie i zamianę danych </w:t>
      </w:r>
    </w:p>
    <w:p w14:paraId="61FB4321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Wykonywanie analiz danych przy użyciu formatowania warunkowego </w:t>
      </w:r>
    </w:p>
    <w:p w14:paraId="7F4B2838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wykresów prognoz i trendów na podstawie danych historycznych z użyciem algorytmu ETS </w:t>
      </w:r>
    </w:p>
    <w:p w14:paraId="0152E761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Nazywanie komórek arkusza i odwoływanie się w formułach po takiej nazwie </w:t>
      </w:r>
    </w:p>
    <w:p w14:paraId="6483319A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Nagrywanie, tworzenie i edycję makr automatyzujących wykonywanie czynności </w:t>
      </w:r>
    </w:p>
    <w:p w14:paraId="1812D816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Formatowanie czasu, daty i wartości finansowych z polskim formatem </w:t>
      </w:r>
    </w:p>
    <w:p w14:paraId="25F87B97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Zapis wielu arkuszy kalkulacyjnych w jednym pliku. </w:t>
      </w:r>
    </w:p>
    <w:p w14:paraId="48AA2127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Inteligentne uzupełnianie komórek w kolumnie według rozpoznanych wzorców, wraz z ich możliwością poprawiania poprzez modyfikację proponowanych formuł. </w:t>
      </w:r>
    </w:p>
    <w:p w14:paraId="41C6B214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przedstawienia różnych wykresów przed ich finalnym wyborem (tylko po najechaniu znacznikiem myszy na dany rodzaj wykresu). </w:t>
      </w:r>
    </w:p>
    <w:p w14:paraId="7EAA8C18" w14:textId="5C06324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Zachowanie pełnej zgodności z formatami plików utworzonych za pomocą oprogramowania Microsoft Excel</w:t>
      </w:r>
      <w:r w:rsidR="005838CD">
        <w:rPr>
          <w:rFonts w:ascii="Arial" w:eastAsiaTheme="minorHAnsi" w:hAnsi="Arial" w:cs="Arial"/>
          <w:kern w:val="0"/>
          <w:sz w:val="20"/>
          <w:lang w:eastAsia="en-US" w:bidi="ar-SA"/>
        </w:rPr>
        <w:t xml:space="preserve"> </w:t>
      </w: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 2019</w:t>
      </w:r>
      <w:r w:rsidR="00490ED5">
        <w:rPr>
          <w:rFonts w:ascii="Arial" w:eastAsiaTheme="minorHAnsi" w:hAnsi="Arial" w:cs="Arial"/>
          <w:kern w:val="0"/>
          <w:sz w:val="20"/>
          <w:lang w:eastAsia="en-US" w:bidi="ar-SA"/>
        </w:rPr>
        <w:t>, 2021</w:t>
      </w: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 z uwzględnieniem poprawnej realizacji użytych w nich funkcji specjalnych i makropoleceń. </w:t>
      </w:r>
    </w:p>
    <w:p w14:paraId="6FCD64F5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Zabezpieczenie dokumentów hasłem przed odczytem oraz przed wprowadzaniem modyfikacji</w:t>
      </w:r>
    </w:p>
    <w:p w14:paraId="35A70F1A" w14:textId="77777777" w:rsidR="009A1181" w:rsidRDefault="009A1181" w:rsidP="009A1181">
      <w:pPr>
        <w:pStyle w:val="Akapitzlist"/>
        <w:numPr>
          <w:ilvl w:val="7"/>
          <w:numId w:val="4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Pełne wsparcie plików w formacie .</w:t>
      </w:r>
      <w:proofErr w:type="spellStart"/>
      <w:r>
        <w:rPr>
          <w:rFonts w:ascii="Arial" w:eastAsiaTheme="minorHAnsi" w:hAnsi="Arial" w:cs="Arial"/>
          <w:kern w:val="0"/>
          <w:sz w:val="20"/>
          <w:lang w:eastAsia="en-US" w:bidi="ar-SA"/>
        </w:rPr>
        <w:t>xlsx</w:t>
      </w:r>
      <w:proofErr w:type="spellEnd"/>
    </w:p>
    <w:p w14:paraId="64FB3B46" w14:textId="77777777" w:rsidR="009A1181" w:rsidRDefault="009A1181" w:rsidP="009A1181">
      <w:pPr>
        <w:numPr>
          <w:ilvl w:val="7"/>
          <w:numId w:val="4"/>
        </w:numPr>
        <w:shd w:val="clear" w:color="auto" w:fill="FFFFFF"/>
        <w:suppressAutoHyphens w:val="0"/>
        <w:autoSpaceDE/>
        <w:autoSpaceDN/>
        <w:adjustRightInd/>
        <w:spacing w:before="100" w:beforeAutospacing="1" w:after="100" w:afterAutospacing="1" w:line="240" w:lineRule="auto"/>
        <w:ind w:left="709"/>
        <w:jc w:val="both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sz w:val="20"/>
          <w:szCs w:val="20"/>
        </w:rPr>
        <w:t xml:space="preserve">Wyszukiwanie – tekstu, polecenia, pomocy </w:t>
      </w:r>
    </w:p>
    <w:p w14:paraId="151DDCAD" w14:textId="77777777" w:rsidR="009A1181" w:rsidRDefault="009A1181" w:rsidP="009A1181">
      <w:pPr>
        <w:pStyle w:val="Akapitzlist"/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35A79012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przygotowywania i prowadzenia prezentacji musi umożliwiać: </w:t>
      </w:r>
    </w:p>
    <w:p w14:paraId="784ED75B" w14:textId="77777777" w:rsidR="009A1181" w:rsidRDefault="009A1181" w:rsidP="009A1181">
      <w:pPr>
        <w:pStyle w:val="Akapitzlist"/>
        <w:numPr>
          <w:ilvl w:val="7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Przygotowywanie prezentacji multimedialnych, które będą: </w:t>
      </w:r>
    </w:p>
    <w:p w14:paraId="03A8AF94" w14:textId="77777777" w:rsidR="009A1181" w:rsidRDefault="009A1181" w:rsidP="009A1181">
      <w:pPr>
        <w:pStyle w:val="Akapitzlist"/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- Prezentowane przy użyciu projektora multimedialnego </w:t>
      </w:r>
    </w:p>
    <w:p w14:paraId="79647B6E" w14:textId="77777777" w:rsidR="009A1181" w:rsidRDefault="009A1181" w:rsidP="009A1181">
      <w:pPr>
        <w:pStyle w:val="Akapitzlist"/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lastRenderedPageBreak/>
        <w:t xml:space="preserve">- Drukowane w formacie umożliwiającym robienie notatek </w:t>
      </w:r>
    </w:p>
    <w:p w14:paraId="1EE033C8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Zapisanie, jako prezentacja tylko do odczytu. </w:t>
      </w:r>
    </w:p>
    <w:p w14:paraId="1A2F4D36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Nagrywanie narracji i dołączanie jej do prezentacji </w:t>
      </w:r>
    </w:p>
    <w:p w14:paraId="23B1C405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Opatrywanie slajdów notatkami dla prezentera </w:t>
      </w:r>
    </w:p>
    <w:p w14:paraId="75B9BE84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Umieszczanie i formatowanie tekstów, obiektów graficznych, tabel, nagrań dźwiękowych i wideo </w:t>
      </w:r>
    </w:p>
    <w:p w14:paraId="71CED1D3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Umieszczanie tabel i wykresów pochodzących z arkusza kalkulacyjnego </w:t>
      </w:r>
    </w:p>
    <w:p w14:paraId="26547FDE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Odświeżenie wykresu znajdującego się w prezentacji po zmianie danych w źródłowym arkuszu kalkulacyjnym </w:t>
      </w:r>
    </w:p>
    <w:p w14:paraId="12BA3700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tworzenia animacji obiektów i całych slajdów </w:t>
      </w:r>
    </w:p>
    <w:p w14:paraId="0CDCBC31" w14:textId="77777777" w:rsidR="009A1181" w:rsidRDefault="009A1181" w:rsidP="009A1181">
      <w:pPr>
        <w:pStyle w:val="Akapitzlist"/>
        <w:numPr>
          <w:ilvl w:val="8"/>
          <w:numId w:val="5"/>
        </w:numPr>
        <w:suppressAutoHyphens w:val="0"/>
        <w:spacing w:after="37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Prowadzenie prezentacji w trybie prezentera, gdzie slajdy są widoczne na jednym monitorze lub projektorze, a na drugim widoczne są slajdy i notatki prezentera, z możliwością podglądu następnego slajdu. </w:t>
      </w:r>
    </w:p>
    <w:p w14:paraId="0B2C5854" w14:textId="7B499E1C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Pełna zgodność z formatami plików utworzonych za pomocą oprogramowania MS PowerPoint </w:t>
      </w:r>
      <w:r w:rsidR="00490ED5">
        <w:rPr>
          <w:rFonts w:ascii="Arial" w:eastAsiaTheme="minorHAnsi" w:hAnsi="Arial" w:cs="Arial"/>
          <w:kern w:val="0"/>
          <w:sz w:val="20"/>
          <w:lang w:eastAsia="en-US" w:bidi="ar-SA"/>
        </w:rPr>
        <w:t xml:space="preserve"> </w:t>
      </w: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 2019</w:t>
      </w:r>
      <w:r w:rsidR="00490ED5">
        <w:rPr>
          <w:rFonts w:ascii="Arial" w:eastAsiaTheme="minorHAnsi" w:hAnsi="Arial" w:cs="Arial"/>
          <w:kern w:val="0"/>
          <w:sz w:val="20"/>
          <w:lang w:eastAsia="en-US" w:bidi="ar-SA"/>
        </w:rPr>
        <w:t>, 2021</w:t>
      </w:r>
    </w:p>
    <w:p w14:paraId="3F454EA8" w14:textId="77777777" w:rsidR="009A1181" w:rsidRDefault="009A1181" w:rsidP="009A1181">
      <w:pPr>
        <w:pStyle w:val="Akapitzlist"/>
        <w:numPr>
          <w:ilvl w:val="0"/>
          <w:numId w:val="5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Pełne wsparcie plików w formacie .</w:t>
      </w:r>
      <w:proofErr w:type="spellStart"/>
      <w:r>
        <w:rPr>
          <w:rFonts w:ascii="Arial" w:eastAsiaTheme="minorHAnsi" w:hAnsi="Arial" w:cs="Arial"/>
          <w:kern w:val="0"/>
          <w:sz w:val="20"/>
          <w:lang w:eastAsia="en-US" w:bidi="ar-SA"/>
        </w:rPr>
        <w:t>pptx</w:t>
      </w:r>
      <w:proofErr w:type="spellEnd"/>
    </w:p>
    <w:p w14:paraId="60E74916" w14:textId="77777777" w:rsidR="009A1181" w:rsidRDefault="009A1181" w:rsidP="009A1181">
      <w:pPr>
        <w:numPr>
          <w:ilvl w:val="0"/>
          <w:numId w:val="5"/>
        </w:numPr>
        <w:shd w:val="clear" w:color="auto" w:fill="FFFFFF"/>
        <w:suppressAutoHyphens w:val="0"/>
        <w:autoSpaceDE/>
        <w:autoSpaceDN/>
        <w:adjustRightInd/>
        <w:spacing w:before="100" w:beforeAutospacing="1" w:after="100" w:afterAutospacing="1" w:line="240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sz w:val="20"/>
          <w:szCs w:val="20"/>
        </w:rPr>
        <w:t xml:space="preserve">Wyszukiwanie – tekstu, polecenia, pomocy </w:t>
      </w:r>
    </w:p>
    <w:p w14:paraId="23EBCAD4" w14:textId="77777777" w:rsidR="009A1181" w:rsidRDefault="009A1181" w:rsidP="009A1181">
      <w:pPr>
        <w:pStyle w:val="Akapitzlist"/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27D0E7D5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tworzenia drukowanych materiałów informacyjnych musi umożliwiać: </w:t>
      </w:r>
    </w:p>
    <w:p w14:paraId="145A8E6E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i edycję drukowanych materiałów informacyjnych </w:t>
      </w:r>
    </w:p>
    <w:p w14:paraId="7116C057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materiałów przy użyciu dostępnych z narzędziem szablonów: broszur, biuletynów, katalogów. </w:t>
      </w:r>
    </w:p>
    <w:p w14:paraId="10DDB428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Edycję poszczególnych stron materiałów. </w:t>
      </w:r>
    </w:p>
    <w:p w14:paraId="24552166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Podział treści na kolumny. </w:t>
      </w:r>
    </w:p>
    <w:p w14:paraId="70EF08BD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Umieszczanie elementów graficznych. </w:t>
      </w:r>
    </w:p>
    <w:p w14:paraId="1D2F2DD4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Wykorzystanie mechanizmu korespondencji seryjnej </w:t>
      </w:r>
    </w:p>
    <w:p w14:paraId="35FDD889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Płynne przesuwanie elementów po całej stronie publikacji. </w:t>
      </w:r>
    </w:p>
    <w:p w14:paraId="6668D449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Eksport publikacji do formatu PDF oraz TIFF. </w:t>
      </w:r>
    </w:p>
    <w:p w14:paraId="5EA4F086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Wydruk publikacji. </w:t>
      </w:r>
    </w:p>
    <w:p w14:paraId="78AC361E" w14:textId="77777777" w:rsidR="009A1181" w:rsidRDefault="009A1181" w:rsidP="009A1181">
      <w:pPr>
        <w:pStyle w:val="Akapitzlist"/>
        <w:numPr>
          <w:ilvl w:val="7"/>
          <w:numId w:val="6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przygotowywania materiałów do wydruku w standardzie CMYK. </w:t>
      </w:r>
    </w:p>
    <w:p w14:paraId="01A51D41" w14:textId="77777777" w:rsidR="009A1181" w:rsidRDefault="009A1181" w:rsidP="009A1181">
      <w:pPr>
        <w:pStyle w:val="Akapitzlist"/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</w:p>
    <w:p w14:paraId="365FFFEF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Narzędzie do zarządzania informacją prywatną (pocztą elektroniczną, kalendarzem, kontaktami i zadaniami) musi umożliwiać: </w:t>
      </w:r>
    </w:p>
    <w:p w14:paraId="1BEA4BF2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Pobieranie i wysyłanie poczty elektronicznej z serwera pocztowego, </w:t>
      </w:r>
    </w:p>
    <w:p w14:paraId="067032DF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Przechowywanie wiadomości na serwerze lub w lokalnym pliku tworzonym z zastosowaniem efektywnej kompresji danych, </w:t>
      </w:r>
    </w:p>
    <w:p w14:paraId="195C5215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Filtrowanie niechcianej poczty elektronicznej (SPAM) oraz określanie listy zablokowanych i bezpiecznych nadawców, </w:t>
      </w:r>
    </w:p>
    <w:p w14:paraId="05C5A488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katalogów, pozwalających katalogować pocztę elektroniczną, </w:t>
      </w:r>
    </w:p>
    <w:p w14:paraId="0A45B207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Automatyczne grupowanie poczty o tym samym tytule, </w:t>
      </w:r>
    </w:p>
    <w:p w14:paraId="2ECB67FF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Tworzenie reguł przenoszących automatycznie nową pocztę elektroniczną do określonych katalogów bazując na słowach zawartych w tytule, adresie nadawcy i odbiorcy, </w:t>
      </w:r>
    </w:p>
    <w:p w14:paraId="4C6176FB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Oflagowanie poczty elektronicznej z określeniem terminu przypomnienia, oddzielnie dla nadawcy i adresatów, </w:t>
      </w:r>
    </w:p>
    <w:p w14:paraId="521E50C0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Mechanizm ustalania liczby wiadomości, które mają być synchronizowane lokalnie, </w:t>
      </w:r>
    </w:p>
    <w:p w14:paraId="700CC038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Zarządzanie kalendarzem, </w:t>
      </w:r>
    </w:p>
    <w:p w14:paraId="343728D1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Udostępnianie kalendarza innym użytkownikom z możliwością określania uprawnień użytkowników, </w:t>
      </w:r>
    </w:p>
    <w:p w14:paraId="4325B929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Przeglądanie kalendarza innych użytkowników, </w:t>
      </w:r>
    </w:p>
    <w:p w14:paraId="193D2E91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Zapraszanie uczestników na spotkanie, co po ich akceptacji powoduje automatyczne wprowadzenie spotkania w ich kalendarzach, </w:t>
      </w:r>
    </w:p>
    <w:p w14:paraId="5B302DE4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Zarządzanie listą zadań, </w:t>
      </w:r>
    </w:p>
    <w:p w14:paraId="625D6D07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Zlecanie zadań innym użytkownikom, </w:t>
      </w:r>
    </w:p>
    <w:p w14:paraId="352C8048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Zarządzanie listą kontaktów, </w:t>
      </w:r>
    </w:p>
    <w:p w14:paraId="074222BA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Udostępnianie listy kontaktów innym użytkownikom, </w:t>
      </w:r>
    </w:p>
    <w:p w14:paraId="0F3AE183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Przeglądanie listy kontaktów innych użytkowników, </w:t>
      </w:r>
    </w:p>
    <w:p w14:paraId="60EA0AF2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25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przesyłania kontaktów innym użytkowników, </w:t>
      </w:r>
    </w:p>
    <w:p w14:paraId="0DB2D423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 xml:space="preserve">Możliwość wykorzystania do komunikacji z serwerem pocztowym mechanizmu MAPI poprzez http. </w:t>
      </w:r>
    </w:p>
    <w:p w14:paraId="2080FD9C" w14:textId="77777777" w:rsidR="009A1181" w:rsidRDefault="009A1181" w:rsidP="009A1181">
      <w:pPr>
        <w:pStyle w:val="Akapitzlist"/>
        <w:numPr>
          <w:ilvl w:val="7"/>
          <w:numId w:val="7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lastRenderedPageBreak/>
        <w:t>Obsługa protokołów IMAP i POP3.</w:t>
      </w:r>
    </w:p>
    <w:p w14:paraId="0F8E1AAC" w14:textId="77777777" w:rsidR="009A1181" w:rsidRDefault="009A1181" w:rsidP="009A1181">
      <w:pPr>
        <w:spacing w:after="0" w:line="240" w:lineRule="auto"/>
        <w:rPr>
          <w:rFonts w:ascii="Arial" w:eastAsiaTheme="minorHAnsi" w:hAnsi="Arial" w:cs="Arial"/>
          <w:kern w:val="0"/>
          <w:sz w:val="20"/>
          <w:szCs w:val="20"/>
          <w:lang w:eastAsia="en-US" w:bidi="ar-SA"/>
        </w:rPr>
      </w:pPr>
    </w:p>
    <w:p w14:paraId="59A1F985" w14:textId="77777777" w:rsidR="009A1181" w:rsidRDefault="009A1181" w:rsidP="009A1181">
      <w:pPr>
        <w:pStyle w:val="Akapitzlist"/>
        <w:numPr>
          <w:ilvl w:val="0"/>
          <w:numId w:val="1"/>
        </w:numPr>
        <w:suppressAutoHyphens w:val="0"/>
        <w:spacing w:after="0" w:line="240" w:lineRule="auto"/>
        <w:rPr>
          <w:rFonts w:ascii="Arial" w:eastAsiaTheme="minorHAnsi" w:hAnsi="Arial" w:cs="Arial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kern w:val="0"/>
          <w:sz w:val="20"/>
          <w:lang w:eastAsia="en-US" w:bidi="ar-SA"/>
        </w:rPr>
        <w:t>Narzędzie do tworzenia i pracy z lokalną bazą danych musi umożliwiać:</w:t>
      </w:r>
    </w:p>
    <w:p w14:paraId="35EE56A2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Tworzenie tabel składających się z unikatowego klucza i pól różnych typów, w tym tekstowych i liczbowych, </w:t>
      </w:r>
    </w:p>
    <w:p w14:paraId="137E4D3C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Tworzenie relacji pomiędzy tabelami, </w:t>
      </w:r>
    </w:p>
    <w:p w14:paraId="6F65BC1A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Tworzenie formularzy do wprowadzania i edycji danych, </w:t>
      </w:r>
    </w:p>
    <w:p w14:paraId="2CEE3253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Raportów, </w:t>
      </w:r>
    </w:p>
    <w:p w14:paraId="490D5DD0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Edycję danych i zapisywanie ich w lokalnie przechowywanej bazie danych, </w:t>
      </w:r>
    </w:p>
    <w:p w14:paraId="20D4CF3A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Tworzenie bazy danych przy użyciu zdefiniowanych szablonów, </w:t>
      </w:r>
    </w:p>
    <w:p w14:paraId="1F1EB5AB" w14:textId="77777777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27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Połączenie z zewnętrznymi, a w szczególności z innymi bazami danych zgodnymi z </w:t>
      </w:r>
      <w:proofErr w:type="spellStart"/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>odbc</w:t>
      </w:r>
      <w:proofErr w:type="spellEnd"/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, plikami </w:t>
      </w:r>
      <w:proofErr w:type="spellStart"/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>xml</w:t>
      </w:r>
      <w:proofErr w:type="spellEnd"/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, arkuszem kalkulacyjnym, </w:t>
      </w:r>
    </w:p>
    <w:p w14:paraId="782C338A" w14:textId="5DDC4DAF" w:rsidR="009A1181" w:rsidRDefault="009A1181" w:rsidP="009A1181">
      <w:pPr>
        <w:pStyle w:val="Akapitzlist"/>
        <w:numPr>
          <w:ilvl w:val="0"/>
          <w:numId w:val="8"/>
        </w:numPr>
        <w:suppressAutoHyphens w:val="0"/>
        <w:spacing w:after="0" w:line="240" w:lineRule="auto"/>
        <w:ind w:left="709"/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</w:pP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>Zgodność z posiadanymi przez zamawiającego plikami utworzonymi za pomocą oprogramowania Microsoft Access w wersjach poprzedzających edycję 202</w:t>
      </w:r>
      <w:r w:rsidR="00FE3D77"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>4</w:t>
      </w:r>
      <w:r>
        <w:rPr>
          <w:rFonts w:ascii="Arial" w:eastAsiaTheme="minorHAnsi" w:hAnsi="Arial" w:cs="Arial"/>
          <w:color w:val="000000"/>
          <w:kern w:val="0"/>
          <w:sz w:val="20"/>
          <w:lang w:eastAsia="en-US" w:bidi="ar-SA"/>
        </w:rPr>
        <w:t xml:space="preserve">. </w:t>
      </w:r>
    </w:p>
    <w:p w14:paraId="52C22DD7" w14:textId="10FC4B7B" w:rsidR="009A1181" w:rsidRDefault="009A1181" w:rsidP="009A1181">
      <w:pPr>
        <w:rPr>
          <w:rFonts w:asciiTheme="minorHAnsi" w:eastAsiaTheme="minorHAnsi" w:hAnsiTheme="minorHAnsi" w:cstheme="minorBidi"/>
          <w:kern w:val="0"/>
          <w:lang w:eastAsia="en-US" w:bidi="ar-SA"/>
        </w:rPr>
      </w:pPr>
    </w:p>
    <w:p w14:paraId="7961292E" w14:textId="77777777" w:rsidR="00F10321" w:rsidRPr="00761907" w:rsidRDefault="00F10321" w:rsidP="00F10321">
      <w:pPr>
        <w:spacing w:line="360" w:lineRule="auto"/>
        <w:rPr>
          <w:rFonts w:ascii="Arial" w:hAnsi="Arial" w:cs="Arial"/>
          <w:sz w:val="20"/>
          <w:szCs w:val="20"/>
        </w:rPr>
      </w:pPr>
    </w:p>
    <w:p w14:paraId="335C96E4" w14:textId="77777777" w:rsidR="00021948" w:rsidRDefault="00021948" w:rsidP="00AF1DDE"/>
    <w:sectPr w:rsidR="000219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DC157" w14:textId="77777777" w:rsidR="00774D36" w:rsidRDefault="00774D36" w:rsidP="00203F18">
      <w:pPr>
        <w:spacing w:after="0" w:line="240" w:lineRule="auto"/>
      </w:pPr>
      <w:r>
        <w:separator/>
      </w:r>
    </w:p>
  </w:endnote>
  <w:endnote w:type="continuationSeparator" w:id="0">
    <w:p w14:paraId="6A914EA8" w14:textId="77777777" w:rsidR="00774D36" w:rsidRDefault="00774D36" w:rsidP="0020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38CB3" w14:textId="77777777" w:rsidR="00774D36" w:rsidRDefault="00774D36" w:rsidP="00203F18">
      <w:pPr>
        <w:spacing w:after="0" w:line="240" w:lineRule="auto"/>
      </w:pPr>
      <w:r>
        <w:separator/>
      </w:r>
    </w:p>
  </w:footnote>
  <w:footnote w:type="continuationSeparator" w:id="0">
    <w:p w14:paraId="5D450F81" w14:textId="77777777" w:rsidR="00774D36" w:rsidRDefault="00774D36" w:rsidP="0020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16DA" w14:textId="2E099760" w:rsidR="00560E4B" w:rsidRPr="00560E4B" w:rsidRDefault="00560E4B" w:rsidP="00560E4B">
    <w:pPr>
      <w:pStyle w:val="Nagwek"/>
      <w:jc w:val="right"/>
      <w:rPr>
        <w:b/>
      </w:rPr>
    </w:pPr>
    <w:r w:rsidRPr="00560E4B">
      <w:rPr>
        <w:b/>
      </w:rPr>
      <w:t>Za</w:t>
    </w:r>
    <w:r w:rsidRPr="00560E4B">
      <w:rPr>
        <w:b/>
      </w:rPr>
      <w:t>łą</w:t>
    </w:r>
    <w:r w:rsidRPr="00560E4B">
      <w:rPr>
        <w:b/>
      </w:rPr>
      <w:t xml:space="preserve">cznik nr 5 </w:t>
    </w:r>
    <w:r w:rsidRPr="00560E4B">
      <w:rPr>
        <w:b/>
      </w:rPr>
      <w:t>–</w:t>
    </w:r>
    <w:r w:rsidRPr="00560E4B">
      <w:rPr>
        <w:b/>
      </w:rPr>
      <w:t xml:space="preserve"> opis przedmiotu zam</w:t>
    </w:r>
    <w:r w:rsidRPr="00560E4B">
      <w:rPr>
        <w:b/>
      </w:rPr>
      <w:t>ó</w:t>
    </w:r>
    <w:r w:rsidRPr="00560E4B">
      <w:rPr>
        <w:b/>
      </w:rPr>
      <w:t>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102F3"/>
    <w:multiLevelType w:val="hybridMultilevel"/>
    <w:tmpl w:val="BBFC49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C5B92"/>
    <w:multiLevelType w:val="hybridMultilevel"/>
    <w:tmpl w:val="7C009C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67595"/>
    <w:multiLevelType w:val="hybridMultilevel"/>
    <w:tmpl w:val="3E3E2E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04074"/>
    <w:multiLevelType w:val="multilevel"/>
    <w:tmpl w:val="DC040EE4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5B7AD4"/>
    <w:multiLevelType w:val="hybridMultilevel"/>
    <w:tmpl w:val="F2CC1F0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30E2E"/>
    <w:multiLevelType w:val="hybridMultilevel"/>
    <w:tmpl w:val="80BA05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11792"/>
    <w:multiLevelType w:val="multilevel"/>
    <w:tmpl w:val="73B20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BE426A"/>
    <w:multiLevelType w:val="hybridMultilevel"/>
    <w:tmpl w:val="3B2A0E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321"/>
    <w:rsid w:val="00005DDD"/>
    <w:rsid w:val="000127A5"/>
    <w:rsid w:val="00021948"/>
    <w:rsid w:val="00033407"/>
    <w:rsid w:val="00034DDE"/>
    <w:rsid w:val="00043A51"/>
    <w:rsid w:val="0005698A"/>
    <w:rsid w:val="0006587A"/>
    <w:rsid w:val="00071CD7"/>
    <w:rsid w:val="000758E4"/>
    <w:rsid w:val="000A70A2"/>
    <w:rsid w:val="000B2443"/>
    <w:rsid w:val="000C20FE"/>
    <w:rsid w:val="000C54FE"/>
    <w:rsid w:val="000D27A7"/>
    <w:rsid w:val="000F18C9"/>
    <w:rsid w:val="000F1F61"/>
    <w:rsid w:val="00117ACF"/>
    <w:rsid w:val="00122E51"/>
    <w:rsid w:val="001303CC"/>
    <w:rsid w:val="0013657D"/>
    <w:rsid w:val="00147EF3"/>
    <w:rsid w:val="0015103E"/>
    <w:rsid w:val="0016192A"/>
    <w:rsid w:val="00164A91"/>
    <w:rsid w:val="00164DC9"/>
    <w:rsid w:val="001924E6"/>
    <w:rsid w:val="00195925"/>
    <w:rsid w:val="001A308C"/>
    <w:rsid w:val="00201722"/>
    <w:rsid w:val="00203233"/>
    <w:rsid w:val="00203F18"/>
    <w:rsid w:val="002120F4"/>
    <w:rsid w:val="00243EEE"/>
    <w:rsid w:val="00257708"/>
    <w:rsid w:val="00270586"/>
    <w:rsid w:val="0027440F"/>
    <w:rsid w:val="002A6647"/>
    <w:rsid w:val="002B65DC"/>
    <w:rsid w:val="002E1B75"/>
    <w:rsid w:val="002F60E5"/>
    <w:rsid w:val="002F644E"/>
    <w:rsid w:val="00301CF2"/>
    <w:rsid w:val="00304C23"/>
    <w:rsid w:val="0031176B"/>
    <w:rsid w:val="00313555"/>
    <w:rsid w:val="003179D2"/>
    <w:rsid w:val="00317C77"/>
    <w:rsid w:val="003200C4"/>
    <w:rsid w:val="00340C2F"/>
    <w:rsid w:val="00341CDA"/>
    <w:rsid w:val="0034295E"/>
    <w:rsid w:val="00361367"/>
    <w:rsid w:val="00374550"/>
    <w:rsid w:val="00382273"/>
    <w:rsid w:val="00382CDD"/>
    <w:rsid w:val="00396C64"/>
    <w:rsid w:val="00397FDB"/>
    <w:rsid w:val="003A38EF"/>
    <w:rsid w:val="003B579C"/>
    <w:rsid w:val="003C1278"/>
    <w:rsid w:val="003C7F67"/>
    <w:rsid w:val="003F699B"/>
    <w:rsid w:val="00404903"/>
    <w:rsid w:val="00410101"/>
    <w:rsid w:val="00420619"/>
    <w:rsid w:val="004326FC"/>
    <w:rsid w:val="00436921"/>
    <w:rsid w:val="004539D3"/>
    <w:rsid w:val="0045536F"/>
    <w:rsid w:val="004857E7"/>
    <w:rsid w:val="00490ED5"/>
    <w:rsid w:val="004955AD"/>
    <w:rsid w:val="004E28E6"/>
    <w:rsid w:val="004F0AB4"/>
    <w:rsid w:val="004F2CED"/>
    <w:rsid w:val="004F5384"/>
    <w:rsid w:val="00502D68"/>
    <w:rsid w:val="005139D9"/>
    <w:rsid w:val="00515307"/>
    <w:rsid w:val="0052581F"/>
    <w:rsid w:val="00560B1C"/>
    <w:rsid w:val="00560E4B"/>
    <w:rsid w:val="00567C69"/>
    <w:rsid w:val="00571B27"/>
    <w:rsid w:val="005758B6"/>
    <w:rsid w:val="00580DD1"/>
    <w:rsid w:val="005838CD"/>
    <w:rsid w:val="00592745"/>
    <w:rsid w:val="00595648"/>
    <w:rsid w:val="005A7AD9"/>
    <w:rsid w:val="005B5642"/>
    <w:rsid w:val="005D0F06"/>
    <w:rsid w:val="0060118B"/>
    <w:rsid w:val="00612CE8"/>
    <w:rsid w:val="00617334"/>
    <w:rsid w:val="00626FD5"/>
    <w:rsid w:val="006275E1"/>
    <w:rsid w:val="006330F9"/>
    <w:rsid w:val="00661B5F"/>
    <w:rsid w:val="00677968"/>
    <w:rsid w:val="006A0029"/>
    <w:rsid w:val="006B3B5A"/>
    <w:rsid w:val="006B49FD"/>
    <w:rsid w:val="006C4E88"/>
    <w:rsid w:val="006D6E87"/>
    <w:rsid w:val="006E2AD5"/>
    <w:rsid w:val="00702409"/>
    <w:rsid w:val="007671EC"/>
    <w:rsid w:val="00774D36"/>
    <w:rsid w:val="00775AC1"/>
    <w:rsid w:val="00784BC6"/>
    <w:rsid w:val="00784FC6"/>
    <w:rsid w:val="00785802"/>
    <w:rsid w:val="007A0772"/>
    <w:rsid w:val="007A1ADE"/>
    <w:rsid w:val="007B6B6E"/>
    <w:rsid w:val="007E0920"/>
    <w:rsid w:val="007F76F4"/>
    <w:rsid w:val="00811A95"/>
    <w:rsid w:val="0083312E"/>
    <w:rsid w:val="00886AAF"/>
    <w:rsid w:val="00893BE3"/>
    <w:rsid w:val="008B1B4B"/>
    <w:rsid w:val="008B3CAC"/>
    <w:rsid w:val="008C661F"/>
    <w:rsid w:val="008D09A5"/>
    <w:rsid w:val="008D2777"/>
    <w:rsid w:val="008E0B61"/>
    <w:rsid w:val="008E295E"/>
    <w:rsid w:val="008E7E53"/>
    <w:rsid w:val="008F0995"/>
    <w:rsid w:val="008F7F36"/>
    <w:rsid w:val="00910991"/>
    <w:rsid w:val="00927279"/>
    <w:rsid w:val="009305BC"/>
    <w:rsid w:val="00944434"/>
    <w:rsid w:val="00944E43"/>
    <w:rsid w:val="0094547F"/>
    <w:rsid w:val="0096102D"/>
    <w:rsid w:val="0097505F"/>
    <w:rsid w:val="0098154C"/>
    <w:rsid w:val="009A1181"/>
    <w:rsid w:val="009A7837"/>
    <w:rsid w:val="009B04F9"/>
    <w:rsid w:val="009D2A56"/>
    <w:rsid w:val="009F4E39"/>
    <w:rsid w:val="009F5D66"/>
    <w:rsid w:val="00A35870"/>
    <w:rsid w:val="00A40AE2"/>
    <w:rsid w:val="00A40EEA"/>
    <w:rsid w:val="00A8258A"/>
    <w:rsid w:val="00A911D5"/>
    <w:rsid w:val="00AA2564"/>
    <w:rsid w:val="00AA44FA"/>
    <w:rsid w:val="00AB1B0D"/>
    <w:rsid w:val="00AB37D8"/>
    <w:rsid w:val="00AC4A67"/>
    <w:rsid w:val="00AE0098"/>
    <w:rsid w:val="00AE686B"/>
    <w:rsid w:val="00AF037A"/>
    <w:rsid w:val="00AF1DDE"/>
    <w:rsid w:val="00B41A91"/>
    <w:rsid w:val="00B47B1B"/>
    <w:rsid w:val="00B55C3A"/>
    <w:rsid w:val="00B62C7F"/>
    <w:rsid w:val="00B67B3B"/>
    <w:rsid w:val="00B84909"/>
    <w:rsid w:val="00B85860"/>
    <w:rsid w:val="00B96522"/>
    <w:rsid w:val="00BB4E0F"/>
    <w:rsid w:val="00BC0559"/>
    <w:rsid w:val="00BC12DC"/>
    <w:rsid w:val="00BC752E"/>
    <w:rsid w:val="00BD7594"/>
    <w:rsid w:val="00BF790E"/>
    <w:rsid w:val="00C0240B"/>
    <w:rsid w:val="00C32D7F"/>
    <w:rsid w:val="00C34782"/>
    <w:rsid w:val="00C364C6"/>
    <w:rsid w:val="00C4668F"/>
    <w:rsid w:val="00C5208D"/>
    <w:rsid w:val="00C74EAC"/>
    <w:rsid w:val="00C90288"/>
    <w:rsid w:val="00CB61FD"/>
    <w:rsid w:val="00CD1803"/>
    <w:rsid w:val="00CD3C89"/>
    <w:rsid w:val="00CD5DA6"/>
    <w:rsid w:val="00CD7358"/>
    <w:rsid w:val="00CD7EEF"/>
    <w:rsid w:val="00D006C3"/>
    <w:rsid w:val="00D02658"/>
    <w:rsid w:val="00D14775"/>
    <w:rsid w:val="00D24F47"/>
    <w:rsid w:val="00D5097D"/>
    <w:rsid w:val="00D5366A"/>
    <w:rsid w:val="00D5395C"/>
    <w:rsid w:val="00D84C78"/>
    <w:rsid w:val="00D86A27"/>
    <w:rsid w:val="00D94E4B"/>
    <w:rsid w:val="00D950CB"/>
    <w:rsid w:val="00D9790C"/>
    <w:rsid w:val="00DB0672"/>
    <w:rsid w:val="00DB1F1C"/>
    <w:rsid w:val="00DB7E81"/>
    <w:rsid w:val="00DD0DA3"/>
    <w:rsid w:val="00DD4DE0"/>
    <w:rsid w:val="00DD53B8"/>
    <w:rsid w:val="00DE5167"/>
    <w:rsid w:val="00DE6554"/>
    <w:rsid w:val="00E129B8"/>
    <w:rsid w:val="00E33732"/>
    <w:rsid w:val="00E37DD9"/>
    <w:rsid w:val="00E81D45"/>
    <w:rsid w:val="00E82995"/>
    <w:rsid w:val="00E96114"/>
    <w:rsid w:val="00EB2CAD"/>
    <w:rsid w:val="00EC485D"/>
    <w:rsid w:val="00ED4E26"/>
    <w:rsid w:val="00EE5690"/>
    <w:rsid w:val="00F00459"/>
    <w:rsid w:val="00F066FC"/>
    <w:rsid w:val="00F10321"/>
    <w:rsid w:val="00F11253"/>
    <w:rsid w:val="00F240CF"/>
    <w:rsid w:val="00F2643D"/>
    <w:rsid w:val="00F35C5B"/>
    <w:rsid w:val="00F50CC9"/>
    <w:rsid w:val="00F5398F"/>
    <w:rsid w:val="00F644EC"/>
    <w:rsid w:val="00F7001D"/>
    <w:rsid w:val="00F96534"/>
    <w:rsid w:val="00FA27B2"/>
    <w:rsid w:val="00FA6FF0"/>
    <w:rsid w:val="00FC2B37"/>
    <w:rsid w:val="00FC57DA"/>
    <w:rsid w:val="00FC5C17"/>
    <w:rsid w:val="00FD33B5"/>
    <w:rsid w:val="00FE3D77"/>
    <w:rsid w:val="00FF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4D7A"/>
  <w15:docId w15:val="{04A11E55-9729-42E0-8961-0872FCBE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0321"/>
    <w:pPr>
      <w:suppressAutoHyphens/>
      <w:autoSpaceDE w:val="0"/>
      <w:autoSpaceDN w:val="0"/>
      <w:adjustRightInd w:val="0"/>
    </w:pPr>
    <w:rPr>
      <w:rFonts w:ascii="Calibri" w:eastAsia="Times New Roman" w:hAnsi="Liberation Serif" w:cs="Calibri"/>
      <w:kern w:val="1"/>
      <w:lang w:eastAsia="pl-PL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10321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color w:val="000000"/>
      <w:kern w:val="1"/>
      <w:sz w:val="24"/>
      <w:szCs w:val="24"/>
      <w:lang w:eastAsia="pl-PL" w:bidi="hi-IN"/>
    </w:rPr>
  </w:style>
  <w:style w:type="paragraph" w:styleId="Bezodstpw">
    <w:name w:val="No Spacing"/>
    <w:uiPriority w:val="1"/>
    <w:qFormat/>
    <w:rsid w:val="00F10321"/>
    <w:pPr>
      <w:spacing w:after="0" w:line="240" w:lineRule="auto"/>
    </w:pPr>
    <w:rPr>
      <w:rFonts w:eastAsiaTheme="minorEastAsia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F18"/>
    <w:pPr>
      <w:spacing w:after="0"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3F18"/>
    <w:rPr>
      <w:rFonts w:ascii="Calibri" w:eastAsia="Times New Roman" w:hAnsi="Liberation Serif" w:cs="Mangal"/>
      <w:kern w:val="1"/>
      <w:sz w:val="20"/>
      <w:szCs w:val="18"/>
      <w:lang w:eastAsia="pl-PL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3F18"/>
    <w:rPr>
      <w:vertAlign w:val="superscript"/>
    </w:rPr>
  </w:style>
  <w:style w:type="character" w:customStyle="1" w:styleId="FontStyle14">
    <w:name w:val="Font Style14"/>
    <w:uiPriority w:val="99"/>
    <w:rsid w:val="00201722"/>
    <w:rPr>
      <w:rFonts w:ascii="Arial" w:eastAsia="Times New Roman"/>
      <w:sz w:val="20"/>
    </w:rPr>
  </w:style>
  <w:style w:type="paragraph" w:styleId="Akapitzlist">
    <w:name w:val="List Paragraph"/>
    <w:basedOn w:val="Normalny"/>
    <w:uiPriority w:val="34"/>
    <w:qFormat/>
    <w:rsid w:val="009A1181"/>
    <w:pPr>
      <w:ind w:left="720"/>
      <w:contextualSpacing/>
    </w:pPr>
    <w:rPr>
      <w:rFonts w:cs="Mangal"/>
      <w:kern w:val="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0E4B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0E4B"/>
    <w:rPr>
      <w:rFonts w:ascii="Calibri" w:eastAsia="Times New Roman" w:hAnsi="Liberation Serif" w:cs="Mangal"/>
      <w:kern w:val="1"/>
      <w:szCs w:val="20"/>
      <w:lang w:eastAsia="pl-PL" w:bidi="hi-IN"/>
    </w:rPr>
  </w:style>
  <w:style w:type="paragraph" w:styleId="Stopka">
    <w:name w:val="footer"/>
    <w:basedOn w:val="Normalny"/>
    <w:link w:val="StopkaZnak"/>
    <w:uiPriority w:val="99"/>
    <w:unhideWhenUsed/>
    <w:rsid w:val="00560E4B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60E4B"/>
    <w:rPr>
      <w:rFonts w:ascii="Calibri" w:eastAsia="Times New Roman" w:hAnsi="Liberation Serif" w:cs="Mangal"/>
      <w:kern w:val="1"/>
      <w:szCs w:val="20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Bartek</dc:creator>
  <cp:lastModifiedBy>Maciej Matusiak</cp:lastModifiedBy>
  <cp:revision>2</cp:revision>
  <cp:lastPrinted>2023-02-22T11:07:00Z</cp:lastPrinted>
  <dcterms:created xsi:type="dcterms:W3CDTF">2025-11-26T11:05:00Z</dcterms:created>
  <dcterms:modified xsi:type="dcterms:W3CDTF">2025-11-26T11:05:00Z</dcterms:modified>
</cp:coreProperties>
</file>